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2" w:rsidRPr="00BD1B22" w:rsidRDefault="00BD1B22" w:rsidP="00BD1B2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B22">
        <w:rPr>
          <w:rFonts w:ascii="Times New Roman" w:hAnsi="Times New Roman" w:cs="Times New Roman"/>
          <w:b/>
          <w:sz w:val="26"/>
          <w:szCs w:val="26"/>
        </w:rPr>
        <w:t>Mở bài phân tích khỗ cuối mẫu 2</w:t>
      </w:r>
    </w:p>
    <w:p w:rsidR="00856F28" w:rsidRPr="00BD1B22" w:rsidRDefault="00BD1B22" w:rsidP="00BD1B2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B22">
        <w:rPr>
          <w:rFonts w:ascii="Times New Roman" w:hAnsi="Times New Roman" w:cs="Times New Roman"/>
          <w:sz w:val="26"/>
          <w:szCs w:val="26"/>
        </w:rPr>
        <w:t>Tố Hữu là một nhà thơ cách mạng nỗi tiếng, ông có những tác phẩm thơ nồi tiếng như Việ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D1B22">
        <w:rPr>
          <w:rFonts w:ascii="Times New Roman" w:hAnsi="Times New Roman" w:cs="Times New Roman"/>
          <w:sz w:val="26"/>
          <w:szCs w:val="26"/>
        </w:rPr>
        <w:t>Bắc (1947-1954), Gió lộng (1955-1961), Ra trận (1962</w:t>
      </w:r>
      <w:r>
        <w:rPr>
          <w:rFonts w:ascii="Times New Roman" w:hAnsi="Times New Roman" w:cs="Times New Roman"/>
          <w:sz w:val="26"/>
          <w:szCs w:val="26"/>
        </w:rPr>
        <w:t>-1971), Máu và hoa (1972-1977).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D1B22">
        <w:rPr>
          <w:rFonts w:ascii="Times New Roman" w:hAnsi="Times New Roman" w:cs="Times New Roman"/>
          <w:sz w:val="26"/>
          <w:szCs w:val="26"/>
        </w:rPr>
        <w:t>Một trong những tác phẩm nổi tiếng là bài thơ Từ ấy. Bài thơ Từ ấy là bài thơ mở đầ</w:t>
      </w:r>
      <w:r>
        <w:rPr>
          <w:rFonts w:ascii="Times New Roman" w:hAnsi="Times New Roman" w:cs="Times New Roman"/>
          <w:sz w:val="26"/>
          <w:szCs w:val="26"/>
        </w:rPr>
        <w:t>u cho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D1B22">
        <w:rPr>
          <w:rFonts w:ascii="Times New Roman" w:hAnsi="Times New Roman" w:cs="Times New Roman"/>
          <w:sz w:val="26"/>
          <w:szCs w:val="26"/>
        </w:rPr>
        <w:t>con đường cách mạng, con đường thi ca của Tổ Hữu, bài thơ đồng thời là một chân lí số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D1B22">
        <w:rPr>
          <w:rFonts w:ascii="Times New Roman" w:hAnsi="Times New Roman" w:cs="Times New Roman"/>
          <w:sz w:val="26"/>
          <w:szCs w:val="26"/>
        </w:rPr>
        <w:t>của tác giả trong cuộc sống. Khổ 3 của bài thơ thể hiện sự chuyền biến tâm lí sâu sắc củ</w:t>
      </w:r>
      <w:r>
        <w:rPr>
          <w:rFonts w:ascii="Times New Roman" w:hAnsi="Times New Roman" w:cs="Times New Roman"/>
          <w:sz w:val="26"/>
          <w:szCs w:val="26"/>
        </w:rPr>
        <w:t>a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D1B22">
        <w:rPr>
          <w:rFonts w:ascii="Times New Roman" w:hAnsi="Times New Roman" w:cs="Times New Roman"/>
          <w:sz w:val="26"/>
          <w:szCs w:val="26"/>
        </w:rPr>
        <w:t>giả. Chúng ta cùng đi tìm hiểu khổ 3 của bài thơ Từ ấy để hiểu rõ hơn những vấn đề</w:t>
      </w:r>
      <w:r>
        <w:rPr>
          <w:rFonts w:ascii="Times New Roman" w:hAnsi="Times New Roman" w:cs="Times New Roman"/>
          <w:sz w:val="26"/>
          <w:szCs w:val="26"/>
        </w:rPr>
        <w:t xml:space="preserve">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BD1B22">
        <w:rPr>
          <w:rFonts w:ascii="Times New Roman" w:hAnsi="Times New Roman" w:cs="Times New Roman"/>
          <w:sz w:val="26"/>
          <w:szCs w:val="26"/>
        </w:rPr>
        <w:t>bài.</w:t>
      </w:r>
    </w:p>
    <w:sectPr w:rsidR="00856F28" w:rsidRPr="00BD1B22" w:rsidSect="00BD1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2"/>
    <w:rsid w:val="000B7E50"/>
    <w:rsid w:val="000E4985"/>
    <w:rsid w:val="00B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BE29"/>
  <w15:chartTrackingRefBased/>
  <w15:docId w15:val="{59C78D83-1553-4F1B-ACE5-ECBE137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2023-01-03T09:09:00Z</dcterms:created>
  <dcterms:modified xsi:type="dcterms:W3CDTF">2023-01-03T09:09:00Z</dcterms:modified>
</cp:coreProperties>
</file>